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674206FC" w:rsidR="00A01CDB" w:rsidRDefault="00CD422C" w:rsidP="0073004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4EB66DAE" w:rsidR="00CD422C" w:rsidRPr="00A01CDB" w:rsidRDefault="001A14B0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(EE02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674206FC" w:rsidR="00A01CDB" w:rsidRDefault="00CD422C" w:rsidP="0073004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4EB66DAE" w:rsidR="00CD422C" w:rsidRPr="00A01CDB" w:rsidRDefault="001A14B0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(EE02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1A14B0" w:rsidRPr="001A14B0" w14:paraId="1E659AA1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D7E47E" w14:textId="77777777" w:rsidR="001A14B0" w:rsidRPr="001A14B0" w:rsidRDefault="001A14B0" w:rsidP="001A14B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A14B0">
              <w:rPr>
                <w:rFonts w:ascii="Calibri" w:eastAsia="Calibri" w:hAnsi="Calibri" w:cs="Calibri"/>
                <w:b/>
                <w:bCs/>
              </w:rPr>
              <w:t>Fact Sheet EE02: Register the hotel' total electrical energy use at least once per month</w:t>
            </w:r>
          </w:p>
        </w:tc>
      </w:tr>
      <w:tr w:rsidR="001A14B0" w:rsidRPr="001A14B0" w14:paraId="382B0612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E9D8B2" w14:textId="77777777" w:rsidR="001A14B0" w:rsidRPr="001A14B0" w:rsidRDefault="001A14B0" w:rsidP="001A14B0">
            <w:pPr>
              <w:spacing w:before="120" w:after="12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A14B0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1A14B0" w:rsidRPr="001A14B0" w14:paraId="2347A09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4BF79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82641E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1A14B0">
              <w:rPr>
                <w:rFonts w:ascii="Calibri" w:eastAsia="Calibri" w:hAnsi="Calibri" w:cs="Calibri"/>
                <w:color w:val="000000"/>
                <w:lang w:val="en-CA"/>
              </w:rPr>
              <w:t>Benchmark the total electrical energy use in the hotel</w:t>
            </w:r>
          </w:p>
        </w:tc>
      </w:tr>
      <w:tr w:rsidR="001A14B0" w:rsidRPr="001A14B0" w14:paraId="2B03827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E8F549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16B3FB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1A14B0">
              <w:rPr>
                <w:rFonts w:ascii="Calibri" w:eastAsia="Calibri" w:hAnsi="Calibri" w:cs="Calibri"/>
                <w:color w:val="000000"/>
                <w:lang w:val="en-CA"/>
              </w:rPr>
              <w:t>Keep a record of monthly electrical energy consumption in the hotel</w:t>
            </w:r>
          </w:p>
        </w:tc>
      </w:tr>
      <w:tr w:rsidR="001A14B0" w:rsidRPr="001A14B0" w14:paraId="513BDDA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B01639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515522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1A14B0">
              <w:rPr>
                <w:rFonts w:ascii="Calibri" w:eastAsia="Calibri" w:hAnsi="Calibri" w:cs="Arial"/>
              </w:rPr>
              <w:t>None</w:t>
            </w:r>
          </w:p>
        </w:tc>
      </w:tr>
      <w:tr w:rsidR="001A14B0" w:rsidRPr="001A14B0" w14:paraId="1DC9740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B43E5F" w14:textId="77777777" w:rsidR="001A14B0" w:rsidRPr="001A14B0" w:rsidRDefault="001A14B0" w:rsidP="001A14B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A14B0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1A14B0" w:rsidRPr="001A14B0" w14:paraId="16CA487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57FF2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BA43DD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A14B0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1A14B0" w:rsidRPr="001A14B0" w14:paraId="67C9E52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4A7BCE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7C7CBA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A14B0">
              <w:rPr>
                <w:rFonts w:ascii="Calibri" w:eastAsia="Calibri" w:hAnsi="Calibri" w:cs="Calibri"/>
                <w:color w:val="000000"/>
              </w:rPr>
              <w:t>None</w:t>
            </w:r>
          </w:p>
        </w:tc>
      </w:tr>
      <w:tr w:rsidR="001A14B0" w:rsidRPr="001A14B0" w14:paraId="1747F4A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69E7FB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572F5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A14B0">
              <w:rPr>
                <w:rFonts w:ascii="Calibri" w:eastAsia="Calibri" w:hAnsi="Calibri" w:cs="Calibri"/>
                <w:color w:val="000000"/>
              </w:rPr>
              <w:t>Maintenance or engineering department personnel for data collection and recording</w:t>
            </w:r>
          </w:p>
        </w:tc>
      </w:tr>
      <w:tr w:rsidR="001A14B0" w:rsidRPr="001A14B0" w14:paraId="5FDDA38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806CE0" w14:textId="77777777" w:rsidR="001A14B0" w:rsidRPr="001A14B0" w:rsidRDefault="001A14B0" w:rsidP="001A14B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A14B0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1A14B0" w:rsidRPr="001A14B0" w14:paraId="24DE1DB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D7E0FD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DF2D69" w14:textId="77777777" w:rsidR="001A14B0" w:rsidRPr="001A14B0" w:rsidRDefault="001A14B0" w:rsidP="001A14B0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1A14B0">
              <w:rPr>
                <w:rFonts w:ascii="Calibri" w:eastAsia="Calibri" w:hAnsi="Calibri" w:cs="Arial"/>
              </w:rPr>
              <w:t>None</w:t>
            </w:r>
          </w:p>
        </w:tc>
      </w:tr>
      <w:tr w:rsidR="001A14B0" w:rsidRPr="001A14B0" w14:paraId="3335AF1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27BA97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2E3861" w14:textId="77777777" w:rsidR="001A14B0" w:rsidRPr="001A14B0" w:rsidRDefault="001A14B0" w:rsidP="001A14B0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1A14B0">
              <w:rPr>
                <w:rFonts w:ascii="Calibri" w:eastAsia="Calibri" w:hAnsi="Calibri" w:cs="Arial"/>
              </w:rPr>
              <w:t>No CAPEX, No OPEX, possible savings due to realized energy saving opportunities</w:t>
            </w:r>
          </w:p>
        </w:tc>
      </w:tr>
      <w:tr w:rsidR="001A14B0" w:rsidRPr="001A14B0" w14:paraId="372B057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8AD4A2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0C0512" w14:textId="77777777" w:rsidR="001A14B0" w:rsidRPr="001A14B0" w:rsidRDefault="001A14B0" w:rsidP="001A14B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1A14B0">
              <w:rPr>
                <w:rFonts w:ascii="Arial" w:eastAsia="Times New Roman" w:hAnsi="Arial" w:cs="Times New Roman"/>
                <w:color w:val="000000"/>
                <w:lang w:eastAsia="da-DK"/>
              </w:rPr>
              <w:t>A simple and no-cost intervention</w:t>
            </w:r>
          </w:p>
          <w:p w14:paraId="622B628C" w14:textId="77777777" w:rsidR="001A14B0" w:rsidRPr="001A14B0" w:rsidRDefault="001A14B0" w:rsidP="001A14B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1A14B0">
              <w:rPr>
                <w:rFonts w:ascii="Arial" w:eastAsia="Times New Roman" w:hAnsi="Arial" w:cs="Times New Roman"/>
                <w:color w:val="000000"/>
                <w:lang w:eastAsia="da-DK"/>
              </w:rPr>
              <w:t>Applicable in facilities of all sizes</w:t>
            </w:r>
          </w:p>
          <w:p w14:paraId="35707AFD" w14:textId="77777777" w:rsidR="001A14B0" w:rsidRPr="001A14B0" w:rsidRDefault="001A14B0" w:rsidP="001A14B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1A14B0">
              <w:rPr>
                <w:rFonts w:ascii="Arial" w:eastAsia="Times New Roman" w:hAnsi="Arial" w:cs="Times New Roman"/>
                <w:color w:val="000000"/>
                <w:lang w:eastAsia="da-DK"/>
              </w:rPr>
              <w:t>Helps the hotel management assess the  hotel’ energy performance relative to similar periods in previous years and set a realistic electrical energy consumption target</w:t>
            </w:r>
          </w:p>
        </w:tc>
      </w:tr>
      <w:tr w:rsidR="001A14B0" w:rsidRPr="001A14B0" w14:paraId="3492AC5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7E747D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479E59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1A14B0">
              <w:rPr>
                <w:rFonts w:ascii="Calibri" w:eastAsia="Calibri" w:hAnsi="Calibri" w:cs="Arial"/>
              </w:rPr>
              <w:t>None</w:t>
            </w:r>
          </w:p>
        </w:tc>
      </w:tr>
      <w:tr w:rsidR="001A14B0" w:rsidRPr="001A14B0" w14:paraId="3E0C40EE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EAC173" w14:textId="77777777" w:rsidR="001A14B0" w:rsidRPr="001A14B0" w:rsidRDefault="001A14B0" w:rsidP="001A14B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A14B0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1A14B0" w:rsidRPr="001A14B0" w14:paraId="06AC535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23B084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37B1CA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1A14B0">
              <w:rPr>
                <w:rFonts w:ascii="Calibri" w:eastAsia="Calibri" w:hAnsi="Calibri" w:cs="Arial"/>
                <w:lang w:bidi="ar-EG"/>
              </w:rPr>
              <w:t>None</w:t>
            </w:r>
          </w:p>
        </w:tc>
      </w:tr>
      <w:tr w:rsidR="001A14B0" w:rsidRPr="001A14B0" w14:paraId="441ADD6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64351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1A14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5146EE" w14:textId="77777777" w:rsidR="001A14B0" w:rsidRPr="001A14B0" w:rsidRDefault="001A14B0" w:rsidP="001A14B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1A14B0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B0888" w14:textId="77777777" w:rsidR="00596067" w:rsidRDefault="00596067">
      <w:r>
        <w:separator/>
      </w:r>
    </w:p>
  </w:endnote>
  <w:endnote w:type="continuationSeparator" w:id="0">
    <w:p w14:paraId="5F861035" w14:textId="77777777" w:rsidR="00596067" w:rsidRDefault="0059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1AB0ED15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04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525C" w14:textId="77777777" w:rsidR="00596067" w:rsidRDefault="00596067">
      <w:r>
        <w:separator/>
      </w:r>
    </w:p>
  </w:footnote>
  <w:footnote w:type="continuationSeparator" w:id="0">
    <w:p w14:paraId="0C19BD8D" w14:textId="77777777" w:rsidR="00596067" w:rsidRDefault="0059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3AD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067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042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49B42B1A-22A6-4E63-8F5D-2B4B2762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2021-08-17T11:46:00Z</dcterms:created>
  <dcterms:modified xsi:type="dcterms:W3CDTF">2021-08-17T13:11:00Z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